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C9C" w:rsidRPr="005D3539" w:rsidRDefault="00492C9C" w:rsidP="00492C9C">
      <w:pPr>
        <w:rPr>
          <w:b/>
          <w:sz w:val="24"/>
          <w:szCs w:val="32"/>
        </w:rPr>
      </w:pPr>
      <w:r w:rsidRPr="005D3539">
        <w:rPr>
          <w:b/>
          <w:sz w:val="24"/>
          <w:szCs w:val="32"/>
        </w:rPr>
        <w:t>Agricultura familiar</w:t>
      </w:r>
      <w:bookmarkStart w:id="0" w:name="_GoBack"/>
      <w:bookmarkEnd w:id="0"/>
    </w:p>
    <w:p w:rsidR="00492C9C" w:rsidRPr="005D3539" w:rsidRDefault="00492C9C" w:rsidP="00492C9C">
      <w:pPr>
        <w:rPr>
          <w:b/>
          <w:sz w:val="32"/>
          <w:szCs w:val="32"/>
        </w:rPr>
      </w:pPr>
      <w:proofErr w:type="spellStart"/>
      <w:r w:rsidRPr="005D3539">
        <w:rPr>
          <w:b/>
          <w:sz w:val="32"/>
          <w:szCs w:val="32"/>
        </w:rPr>
        <w:t>ProHuerta</w:t>
      </w:r>
      <w:proofErr w:type="spellEnd"/>
      <w:r w:rsidRPr="005D3539">
        <w:rPr>
          <w:b/>
          <w:sz w:val="32"/>
          <w:szCs w:val="32"/>
        </w:rPr>
        <w:t xml:space="preserve">: una política pública con 30 años de historia  </w:t>
      </w:r>
    </w:p>
    <w:p w:rsidR="00492C9C" w:rsidRPr="002D2D02" w:rsidRDefault="00492C9C" w:rsidP="00492C9C">
      <w:r w:rsidRPr="002D2D02">
        <w:t>Con el objetivo de mejorar la seguridad y la soberanía alimentaria en los sectores vulnerables de la población, el programa es desarrollado</w:t>
      </w:r>
      <w:r>
        <w:t xml:space="preserve"> por el INTA y los M</w:t>
      </w:r>
      <w:r w:rsidRPr="0090684B">
        <w:t>inist</w:t>
      </w:r>
      <w:r>
        <w:t>erios</w:t>
      </w:r>
      <w:r w:rsidRPr="0090684B">
        <w:t xml:space="preserve"> de Agricultura, Ganadería y Pesca y de Desarrollo Social de la Nación</w:t>
      </w:r>
      <w:r w:rsidRPr="002D2D02">
        <w:t xml:space="preserve">. De la emergencia económica que le dio origen a la actual pandemia, </w:t>
      </w:r>
      <w:r>
        <w:t xml:space="preserve">el proyecto que impulsa la autoproducción de alimentos </w:t>
      </w:r>
      <w:r w:rsidRPr="002D2D02">
        <w:t xml:space="preserve">ratifica sus credenciales alentado, además, por las tendencias de consumo más saludables. </w:t>
      </w:r>
    </w:p>
    <w:p w:rsidR="00492C9C" w:rsidRDefault="00492C9C" w:rsidP="00492C9C">
      <w:r>
        <w:t>---</w:t>
      </w:r>
    </w:p>
    <w:p w:rsidR="00492C9C" w:rsidRDefault="00492C9C" w:rsidP="00492C9C">
      <w:r>
        <w:t>A partir de una resolución del Consejo Directivo del INTA, del 3 de agosto de 1990, inició su actividad el Proyecto Integrado “Promoción de la Autoproducción de Alimentos (</w:t>
      </w:r>
      <w:proofErr w:type="spellStart"/>
      <w:r>
        <w:t>ProHuerta</w:t>
      </w:r>
      <w:proofErr w:type="spellEnd"/>
      <w:r>
        <w:t xml:space="preserve">)”, concebido con el objetivo de contribuir a mejorar la seguridad y la soberanía alimentaria en los sectores vulnerables de la población. Se creó en el escenario de una severa crisis en la Argentina y actualmente, tras 30 años, ratifica sus credenciales en el contexto de la </w:t>
      </w:r>
      <w:r w:rsidRPr="008123C4">
        <w:t>pandemia por el coronavirus</w:t>
      </w:r>
      <w:r>
        <w:t xml:space="preserve"> </w:t>
      </w:r>
      <w:r w:rsidRPr="005B70A2">
        <w:t>–</w:t>
      </w:r>
      <w:r w:rsidRPr="00480B60">
        <w:t xml:space="preserve">declarada </w:t>
      </w:r>
      <w:r>
        <w:t xml:space="preserve">en </w:t>
      </w:r>
      <w:r w:rsidRPr="00480B60">
        <w:t>marzo de 2020</w:t>
      </w:r>
      <w:r>
        <w:t xml:space="preserve"> </w:t>
      </w:r>
      <w:r w:rsidRPr="00480B60">
        <w:t>por la Organización Mundial de la Salud</w:t>
      </w:r>
      <w:r w:rsidRPr="005B70A2">
        <w:t>–</w:t>
      </w:r>
      <w:r>
        <w:t>,</w:t>
      </w:r>
      <w:r w:rsidRPr="00480B60">
        <w:t xml:space="preserve"> </w:t>
      </w:r>
      <w:r>
        <w:t xml:space="preserve">que </w:t>
      </w:r>
      <w:r w:rsidRPr="00480B60">
        <w:t>empeoró los indicadores socioeconómicos en el país.</w:t>
      </w:r>
    </w:p>
    <w:p w:rsidR="00492C9C" w:rsidRDefault="00492C9C" w:rsidP="00492C9C">
      <w:r>
        <w:t>Este programa d</w:t>
      </w:r>
      <w:r w:rsidRPr="007C2B9E">
        <w:t xml:space="preserve">el INTA </w:t>
      </w:r>
      <w:r>
        <w:t>está enfocado en co</w:t>
      </w:r>
      <w:r w:rsidRPr="006D7B6C">
        <w:t xml:space="preserve">ntribuir a garantizar </w:t>
      </w:r>
      <w:r w:rsidRPr="00765193">
        <w:t xml:space="preserve">la soberanía y seguridad </w:t>
      </w:r>
      <w:r>
        <w:t>en</w:t>
      </w:r>
      <w:r w:rsidRPr="006D1D8B">
        <w:t xml:space="preserve"> zonas urbanas y rurales</w:t>
      </w:r>
      <w:r>
        <w:t>, con el impulso de</w:t>
      </w:r>
      <w:r w:rsidRPr="006D7B6C">
        <w:t xml:space="preserve"> la </w:t>
      </w:r>
      <w:r w:rsidRPr="00765193">
        <w:t>agroecol</w:t>
      </w:r>
      <w:r>
        <w:t>ogía</w:t>
      </w:r>
      <w:r w:rsidRPr="00765193">
        <w:t xml:space="preserve"> </w:t>
      </w:r>
      <w:r w:rsidRPr="006D7B6C">
        <w:t xml:space="preserve">para </w:t>
      </w:r>
      <w:r>
        <w:t xml:space="preserve">el </w:t>
      </w:r>
      <w:r w:rsidRPr="006D7B6C">
        <w:t>auto-abastecimiento, la conformación</w:t>
      </w:r>
      <w:r w:rsidRPr="006D1D8B">
        <w:t xml:space="preserve"> de sistemas locales de producción, el arraigo y la organización social; a través de </w:t>
      </w:r>
      <w:r>
        <w:t xml:space="preserve">la </w:t>
      </w:r>
      <w:r w:rsidRPr="006D1D8B">
        <w:t xml:space="preserve">capacitación, </w:t>
      </w:r>
      <w:r>
        <w:t xml:space="preserve">la </w:t>
      </w:r>
      <w:r w:rsidRPr="006D1D8B">
        <w:t xml:space="preserve">asistencia técnica, </w:t>
      </w:r>
      <w:r>
        <w:t xml:space="preserve">el </w:t>
      </w:r>
      <w:r w:rsidRPr="006D1D8B">
        <w:t xml:space="preserve">desarrollo de tecnologías apropiadas y </w:t>
      </w:r>
      <w:r>
        <w:t xml:space="preserve">el </w:t>
      </w:r>
      <w:r w:rsidRPr="006D1D8B">
        <w:t>financiamiento de proyectos productivos.</w:t>
      </w:r>
      <w:r>
        <w:t xml:space="preserve"> </w:t>
      </w:r>
    </w:p>
    <w:p w:rsidR="00492C9C" w:rsidRDefault="00492C9C" w:rsidP="00492C9C">
      <w:r>
        <w:t xml:space="preserve">Tiene, en la actualidad, </w:t>
      </w:r>
      <w:r w:rsidRPr="005B70A2">
        <w:t>más de 4</w:t>
      </w:r>
      <w:r>
        <w:t>.000.000</w:t>
      </w:r>
      <w:r w:rsidRPr="005B70A2">
        <w:t xml:space="preserve"> de personas</w:t>
      </w:r>
      <w:r>
        <w:t xml:space="preserve"> como beneficiarias, g</w:t>
      </w:r>
      <w:r w:rsidRPr="006D7B6C">
        <w:t xml:space="preserve">racias a una red federal de </w:t>
      </w:r>
      <w:r w:rsidRPr="005B70A2">
        <w:t>9.192 promotores voluntarios</w:t>
      </w:r>
      <w:r>
        <w:t xml:space="preserve"> </w:t>
      </w:r>
      <w:r w:rsidRPr="007B41C9">
        <w:t>–</w:t>
      </w:r>
      <w:r w:rsidRPr="00E670C6">
        <w:t>un 67 % son mujeres</w:t>
      </w:r>
      <w:r w:rsidRPr="007B41C9">
        <w:t>–</w:t>
      </w:r>
      <w:r>
        <w:t>,</w:t>
      </w:r>
      <w:r w:rsidRPr="005B70A2">
        <w:t xml:space="preserve"> 744 ferias agroecológicas</w:t>
      </w:r>
      <w:r>
        <w:t xml:space="preserve"> y la coordinación </w:t>
      </w:r>
      <w:r w:rsidRPr="006D7B6C">
        <w:t xml:space="preserve">con </w:t>
      </w:r>
      <w:r w:rsidRPr="005B70A2">
        <w:t>más de 3.000 organizaciones e instituciones</w:t>
      </w:r>
      <w:r>
        <w:t xml:space="preserve">. </w:t>
      </w:r>
      <w:r w:rsidRPr="006D7B6C">
        <w:t>De</w:t>
      </w:r>
      <w:r>
        <w:t>l</w:t>
      </w:r>
      <w:r w:rsidRPr="006D7B6C">
        <w:t xml:space="preserve"> total</w:t>
      </w:r>
      <w:r>
        <w:t xml:space="preserve"> de las huertas con las que trabaja e</w:t>
      </w:r>
      <w:r w:rsidRPr="006D7B6C">
        <w:t xml:space="preserve">n todo el país </w:t>
      </w:r>
      <w:r w:rsidRPr="007B41C9">
        <w:t>–</w:t>
      </w:r>
      <w:r w:rsidRPr="00814551">
        <w:t>637.847</w:t>
      </w:r>
      <w:r w:rsidRPr="007B41C9">
        <w:t xml:space="preserve">– </w:t>
      </w:r>
      <w:r>
        <w:t>casi el 97 %</w:t>
      </w:r>
      <w:r w:rsidRPr="006D7B6C">
        <w:t xml:space="preserve"> son</w:t>
      </w:r>
      <w:r>
        <w:t xml:space="preserve"> </w:t>
      </w:r>
      <w:r w:rsidRPr="00814551">
        <w:t>familiares</w:t>
      </w:r>
      <w:r>
        <w:t>.</w:t>
      </w:r>
    </w:p>
    <w:p w:rsidR="00492C9C" w:rsidRDefault="00492C9C" w:rsidP="00492C9C">
      <w:r>
        <w:t xml:space="preserve">Para Susana </w:t>
      </w:r>
      <w:proofErr w:type="spellStart"/>
      <w:r>
        <w:t>Mirassou</w:t>
      </w:r>
      <w:proofErr w:type="spellEnd"/>
      <w:r>
        <w:t xml:space="preserve">, presidenta del INTA, </w:t>
      </w:r>
      <w:r w:rsidRPr="006E5213">
        <w:t xml:space="preserve">el </w:t>
      </w:r>
      <w:proofErr w:type="spellStart"/>
      <w:r w:rsidRPr="006E5213">
        <w:t>ProHuerta</w:t>
      </w:r>
      <w:proofErr w:type="spellEnd"/>
      <w:r w:rsidRPr="006E5213">
        <w:t> </w:t>
      </w:r>
      <w:r>
        <w:t xml:space="preserve">es la </w:t>
      </w:r>
      <w:r w:rsidRPr="006E5213">
        <w:t>nave insignia</w:t>
      </w:r>
      <w:r>
        <w:t xml:space="preserve"> del INTA que busca </w:t>
      </w:r>
      <w:r w:rsidRPr="006E5213">
        <w:t>“mostrar cómo se pueden hacer las cosas</w:t>
      </w:r>
      <w:r>
        <w:t xml:space="preserve"> bien, complementando esfuerzos</w:t>
      </w:r>
      <w:r w:rsidRPr="006E5213">
        <w:t xml:space="preserve"> y poner en el centro de la escena a las organizaciones barriales y rurales”.</w:t>
      </w:r>
      <w:r>
        <w:t xml:space="preserve"> </w:t>
      </w:r>
    </w:p>
    <w:p w:rsidR="00492C9C" w:rsidRPr="005A7F06" w:rsidRDefault="00492C9C" w:rsidP="00492C9C">
      <w:r w:rsidRPr="005A7F06">
        <w:t xml:space="preserve">El programa tiene un rol educativo, pero también tiene la capacidad de potenciar vocaciones sobre la siembra y la cosecha de frutas y verduras para acceder a los alimentos en zonas muy lejanas. “Las 3000 organizaciones e instituciones que trabajan junto con promotoras y promotores barriales que llevan el trabajo del </w:t>
      </w:r>
      <w:proofErr w:type="spellStart"/>
      <w:r w:rsidRPr="005A7F06">
        <w:t>ProHuerta</w:t>
      </w:r>
      <w:proofErr w:type="spellEnd"/>
      <w:r w:rsidRPr="005A7F06">
        <w:t xml:space="preserve"> a los rincones más recónditos del país”, dijo la Presidenta del INTA.</w:t>
      </w:r>
    </w:p>
    <w:p w:rsidR="00492C9C" w:rsidRPr="005A7F06" w:rsidRDefault="00492C9C" w:rsidP="00492C9C">
      <w:r w:rsidRPr="005A7F06">
        <w:t xml:space="preserve">En ese sentido, </w:t>
      </w:r>
      <w:proofErr w:type="spellStart"/>
      <w:r w:rsidRPr="005A7F06">
        <w:t>Mirassou</w:t>
      </w:r>
      <w:proofErr w:type="spellEnd"/>
      <w:r w:rsidRPr="005A7F06">
        <w:t xml:space="preserve"> consideró que en estos 30 años el organismo “ha transitado las distintas etapas de este programa que se ha ido renovando en el intercambio con las comunidades”. Y agregó: “El INTA acompaña técnicamente, pero los verdaderos protagonistas son las organizaciones e </w:t>
      </w:r>
      <w:r w:rsidRPr="005A7F06">
        <w:lastRenderedPageBreak/>
        <w:t>instituciones que se comprometen con la comunidad y hoy, en este contexto de pandemia, adquieren una relevancia central”.</w:t>
      </w:r>
    </w:p>
    <w:p w:rsidR="00492C9C" w:rsidRDefault="00492C9C" w:rsidP="00492C9C">
      <w:r w:rsidRPr="005A7F06">
        <w:t xml:space="preserve">En la actualidad, “el trabajo del </w:t>
      </w:r>
      <w:proofErr w:type="spellStart"/>
      <w:r w:rsidRPr="005A7F06">
        <w:t>ProHuerta</w:t>
      </w:r>
      <w:proofErr w:type="spellEnd"/>
      <w:r w:rsidRPr="005A7F06">
        <w:t xml:space="preserve">, además del abastecimiento de las familias, tiene que ver con la comercialización de los excedentes, la producción agroecológica, el acceso al agua potable y el desarrollo de ferias y mercados populares de proximidad, entre otros aspectos”, destacó </w:t>
      </w:r>
      <w:proofErr w:type="spellStart"/>
      <w:r w:rsidRPr="005A7F06">
        <w:t>Mirassou</w:t>
      </w:r>
      <w:proofErr w:type="spellEnd"/>
      <w:r w:rsidRPr="005A7F06">
        <w:t>.</w:t>
      </w:r>
      <w:r>
        <w:t xml:space="preserve"> </w:t>
      </w:r>
    </w:p>
    <w:p w:rsidR="00492C9C" w:rsidRPr="00E42B89" w:rsidRDefault="00492C9C" w:rsidP="00492C9C">
      <w:pPr>
        <w:rPr>
          <w:rFonts w:cstheme="minorHAnsi"/>
        </w:rPr>
      </w:pPr>
      <w:r w:rsidRPr="00E42B89">
        <w:t xml:space="preserve">En este sentido, </w:t>
      </w:r>
      <w:r w:rsidRPr="00E42B89">
        <w:rPr>
          <w:rFonts w:cstheme="minorHAnsi"/>
        </w:rPr>
        <w:t xml:space="preserve">Maria Rosa </w:t>
      </w:r>
      <w:proofErr w:type="spellStart"/>
      <w:r w:rsidRPr="00E42B89">
        <w:rPr>
          <w:rFonts w:cstheme="minorHAnsi"/>
        </w:rPr>
        <w:t>Scala</w:t>
      </w:r>
      <w:proofErr w:type="spellEnd"/>
      <w:r w:rsidRPr="00E42B89">
        <w:rPr>
          <w:rFonts w:cstheme="minorHAnsi"/>
        </w:rPr>
        <w:t xml:space="preserve"> –directora </w:t>
      </w:r>
      <w:r>
        <w:rPr>
          <w:rFonts w:cstheme="minorHAnsi"/>
        </w:rPr>
        <w:t>nacional a</w:t>
      </w:r>
      <w:r w:rsidRPr="00E42B89">
        <w:rPr>
          <w:rFonts w:cstheme="minorHAnsi"/>
        </w:rPr>
        <w:t xml:space="preserve">sistente de Transferencia y Extensión de INTA– destacó el valor de la </w:t>
      </w:r>
      <w:proofErr w:type="spellStart"/>
      <w:r w:rsidRPr="00E42B89">
        <w:rPr>
          <w:rFonts w:cstheme="minorHAnsi"/>
        </w:rPr>
        <w:t>co</w:t>
      </w:r>
      <w:proofErr w:type="spellEnd"/>
      <w:r w:rsidRPr="00E42B89">
        <w:rPr>
          <w:rFonts w:cstheme="minorHAnsi"/>
        </w:rPr>
        <w:t xml:space="preserve">-gestión entre </w:t>
      </w:r>
      <w:r>
        <w:rPr>
          <w:rFonts w:cstheme="minorHAnsi"/>
        </w:rPr>
        <w:t>el</w:t>
      </w:r>
      <w:r w:rsidRPr="00E42B89">
        <w:rPr>
          <w:rFonts w:cstheme="minorHAnsi"/>
        </w:rPr>
        <w:t xml:space="preserve"> Ministerio</w:t>
      </w:r>
      <w:r>
        <w:rPr>
          <w:rFonts w:cstheme="minorHAnsi"/>
        </w:rPr>
        <w:t xml:space="preserve"> de Desarrollo Social</w:t>
      </w:r>
      <w:r w:rsidRPr="00E42B89">
        <w:rPr>
          <w:rFonts w:cstheme="minorHAnsi"/>
        </w:rPr>
        <w:t xml:space="preserve"> y el INTA que permitieron ampliar miradas, actores y posibilidades de desarrollo en cada rincón del país donde nace, crece, llega y se despliega el programa.</w:t>
      </w:r>
    </w:p>
    <w:p w:rsidR="00492C9C" w:rsidRPr="00E42B89" w:rsidRDefault="00492C9C" w:rsidP="00492C9C">
      <w:pPr>
        <w:rPr>
          <w:rFonts w:cstheme="minorHAnsi"/>
        </w:rPr>
      </w:pPr>
      <w:r w:rsidRPr="00E42B89">
        <w:rPr>
          <w:rFonts w:cstheme="minorHAnsi"/>
        </w:rPr>
        <w:t>“</w:t>
      </w:r>
      <w:proofErr w:type="spellStart"/>
      <w:r w:rsidRPr="00E42B89">
        <w:rPr>
          <w:rFonts w:cstheme="minorHAnsi"/>
        </w:rPr>
        <w:t>ProHuerta</w:t>
      </w:r>
      <w:proofErr w:type="spellEnd"/>
      <w:r w:rsidRPr="00E42B89">
        <w:rPr>
          <w:rFonts w:cstheme="minorHAnsi"/>
        </w:rPr>
        <w:t xml:space="preserve"> es participación, siempre es presente y futuro, es desafío y calidad vida en cada lugar al que llega. </w:t>
      </w:r>
      <w:proofErr w:type="spellStart"/>
      <w:r w:rsidRPr="00E42B89">
        <w:rPr>
          <w:rFonts w:cstheme="minorHAnsi"/>
        </w:rPr>
        <w:t>ProHuerta</w:t>
      </w:r>
      <w:proofErr w:type="spellEnd"/>
      <w:r w:rsidRPr="00E42B89">
        <w:rPr>
          <w:rFonts w:cstheme="minorHAnsi"/>
        </w:rPr>
        <w:t xml:space="preserve"> es granja, frutales, huertas compartidas, huertas escolares, es feria, es agua, es trabajo, es semilla y, también, “casas de semillas” y “guardines de semilla”, es producción agroecológica y biodiversidad”, celebró </w:t>
      </w:r>
      <w:proofErr w:type="spellStart"/>
      <w:r w:rsidRPr="00E42B89">
        <w:rPr>
          <w:rFonts w:cstheme="minorHAnsi"/>
        </w:rPr>
        <w:t>Scala</w:t>
      </w:r>
      <w:proofErr w:type="spellEnd"/>
      <w:r w:rsidRPr="00E42B89">
        <w:rPr>
          <w:rFonts w:cstheme="minorHAnsi"/>
        </w:rPr>
        <w:t>.</w:t>
      </w:r>
    </w:p>
    <w:p w:rsidR="00492C9C" w:rsidRPr="00E42B89" w:rsidRDefault="00492C9C" w:rsidP="00492C9C">
      <w:pPr>
        <w:rPr>
          <w:rFonts w:cstheme="minorHAnsi"/>
        </w:rPr>
      </w:pPr>
      <w:r w:rsidRPr="00E42B89">
        <w:rPr>
          <w:rFonts w:cstheme="minorHAnsi"/>
        </w:rPr>
        <w:t xml:space="preserve">“La huerta agroecológica es un punto de partida, un espacio de aprendizaje, de recreación de proyectos, de valoración y empoderamiento, de autoestima y dignidad”, enfatizó </w:t>
      </w:r>
      <w:proofErr w:type="spellStart"/>
      <w:r w:rsidRPr="00E42B89">
        <w:rPr>
          <w:rFonts w:cstheme="minorHAnsi"/>
        </w:rPr>
        <w:t>Scala</w:t>
      </w:r>
      <w:proofErr w:type="spellEnd"/>
      <w:r w:rsidRPr="00E42B89">
        <w:rPr>
          <w:rFonts w:cstheme="minorHAnsi"/>
        </w:rPr>
        <w:t xml:space="preserve"> quien puntualizó: “En cada siembra nace la esperanza, el diálogo, nuevos saberes, la atención, el compromiso y el cuidado. Allí se despliega el nacimiento, el proceso y el fruto, nace el festejo, el logro y el compartir”.</w:t>
      </w:r>
    </w:p>
    <w:p w:rsidR="00492C9C" w:rsidRPr="00B87D3B" w:rsidRDefault="00492C9C" w:rsidP="00492C9C">
      <w:pPr>
        <w:rPr>
          <w:rFonts w:cstheme="minorHAnsi"/>
        </w:rPr>
      </w:pPr>
      <w:r w:rsidRPr="00E42B89">
        <w:rPr>
          <w:rFonts w:cstheme="minorHAnsi"/>
        </w:rPr>
        <w:t xml:space="preserve">“Desde la Dirección Nacional Asistente de Transferencia y Extensión de INTA queremos saludar, agradecer, felicitar y agradecer el compromiso de las promotoras y promotores voluntarios, el trabajo codo a codo de cada profesional comprometido con el programa valorando las articulaciones de municipios, comunas, entidades, instituciones, escuelas, organizaciones que acompañan y trabajan en red construyendo capital social en el territorio”, subrayó </w:t>
      </w:r>
      <w:proofErr w:type="spellStart"/>
      <w:r w:rsidRPr="00E42B89">
        <w:rPr>
          <w:rFonts w:cstheme="minorHAnsi"/>
        </w:rPr>
        <w:t>Scala</w:t>
      </w:r>
      <w:proofErr w:type="spellEnd"/>
      <w:r w:rsidRPr="00E42B89">
        <w:rPr>
          <w:rFonts w:cstheme="minorHAnsi"/>
        </w:rPr>
        <w:t>.</w:t>
      </w:r>
    </w:p>
    <w:p w:rsidR="00492C9C" w:rsidRDefault="00492C9C" w:rsidP="00492C9C">
      <w:r>
        <w:t xml:space="preserve">El programa </w:t>
      </w:r>
      <w:r w:rsidRPr="00AB7B39">
        <w:t>se inici</w:t>
      </w:r>
      <w:r>
        <w:t>ó</w:t>
      </w:r>
      <w:r w:rsidRPr="00AB7B39">
        <w:t xml:space="preserve"> </w:t>
      </w:r>
      <w:r>
        <w:t>en el marco de la crisis de</w:t>
      </w:r>
      <w:r w:rsidRPr="00AB7B39">
        <w:t xml:space="preserve"> </w:t>
      </w:r>
      <w:r>
        <w:t>19</w:t>
      </w:r>
      <w:r w:rsidRPr="00AB7B39">
        <w:t xml:space="preserve">89, que </w:t>
      </w:r>
      <w:r>
        <w:t>produjo</w:t>
      </w:r>
      <w:r w:rsidRPr="00AB7B39">
        <w:t xml:space="preserve"> un colapso en el abastecimiento alimentario para los sectores más vulnerables de la población. </w:t>
      </w:r>
      <w:r>
        <w:t>Con esa situación, que persistía a</w:t>
      </w:r>
      <w:r w:rsidRPr="00AB7B39">
        <w:t xml:space="preserve"> </w:t>
      </w:r>
      <w:r>
        <w:t>comienzos</w:t>
      </w:r>
      <w:r w:rsidRPr="00AB7B39">
        <w:t xml:space="preserve"> de</w:t>
      </w:r>
      <w:r>
        <w:t>l siguiente año,</w:t>
      </w:r>
      <w:r w:rsidRPr="00AB7B39">
        <w:t xml:space="preserve"> el INTA </w:t>
      </w:r>
      <w:r>
        <w:t>empezó</w:t>
      </w:r>
      <w:r w:rsidRPr="00AB7B39">
        <w:t xml:space="preserve"> </w:t>
      </w:r>
      <w:r>
        <w:t xml:space="preserve">a dar </w:t>
      </w:r>
      <w:r w:rsidRPr="00AB7B39">
        <w:t xml:space="preserve">forma a un programa de huerta y granja. </w:t>
      </w:r>
    </w:p>
    <w:p w:rsidR="00492C9C" w:rsidRDefault="00492C9C" w:rsidP="00492C9C">
      <w:r>
        <w:t xml:space="preserve">Para </w:t>
      </w:r>
      <w:r w:rsidRPr="00AB7B39">
        <w:t>Daniel D</w:t>
      </w:r>
      <w:r>
        <w:t>í</w:t>
      </w:r>
      <w:r w:rsidRPr="00AB7B39">
        <w:t>az</w:t>
      </w:r>
      <w:r>
        <w:t>,</w:t>
      </w:r>
      <w:r w:rsidRPr="00AB7B39">
        <w:t xml:space="preserve"> coordinador de</w:t>
      </w:r>
      <w:r>
        <w:t>l</w:t>
      </w:r>
      <w:r w:rsidRPr="00AB7B39">
        <w:t xml:space="preserve"> </w:t>
      </w:r>
      <w:proofErr w:type="spellStart"/>
      <w:r w:rsidRPr="00AB7B39">
        <w:t>ProHuerta</w:t>
      </w:r>
      <w:proofErr w:type="spellEnd"/>
      <w:r w:rsidRPr="00AB7B39">
        <w:t xml:space="preserve"> desde su creación hasta </w:t>
      </w:r>
      <w:r>
        <w:t xml:space="preserve">el </w:t>
      </w:r>
      <w:r w:rsidRPr="00AB7B39">
        <w:t>2006</w:t>
      </w:r>
      <w:r>
        <w:t>, lo armaron</w:t>
      </w:r>
      <w:r w:rsidRPr="00AB7B39">
        <w:t xml:space="preserve"> en tiempo récord</w:t>
      </w:r>
      <w:r>
        <w:t xml:space="preserve">, a </w:t>
      </w:r>
      <w:r w:rsidRPr="00BE2E15">
        <w:t xml:space="preserve">pedido </w:t>
      </w:r>
      <w:r>
        <w:t>de</w:t>
      </w:r>
      <w:r w:rsidRPr="00BE2E15">
        <w:t xml:space="preserve"> la Secretaría de Agricultura</w:t>
      </w:r>
      <w:r>
        <w:t xml:space="preserve"> </w:t>
      </w:r>
      <w:r w:rsidRPr="007B41C9">
        <w:t>–</w:t>
      </w:r>
      <w:r w:rsidRPr="00BE2E15">
        <w:t xml:space="preserve">en ese momento a cargo de Felipe </w:t>
      </w:r>
      <w:proofErr w:type="spellStart"/>
      <w:r w:rsidRPr="00BE2E15">
        <w:t>Solá</w:t>
      </w:r>
      <w:proofErr w:type="spellEnd"/>
      <w:r w:rsidRPr="007B41C9">
        <w:t>–</w:t>
      </w:r>
      <w:r>
        <w:t>,</w:t>
      </w:r>
      <w:r w:rsidRPr="00BE2E15">
        <w:t xml:space="preserve"> </w:t>
      </w:r>
      <w:r>
        <w:t xml:space="preserve">con </w:t>
      </w:r>
      <w:r w:rsidRPr="00AB7B39">
        <w:t>expectativas de</w:t>
      </w:r>
      <w:r>
        <w:t xml:space="preserve"> acceder al </w:t>
      </w:r>
      <w:r w:rsidRPr="00AB7B39">
        <w:t>financiamiento del Ministerio de Bienestar Social</w:t>
      </w:r>
      <w:r>
        <w:t xml:space="preserve">. </w:t>
      </w:r>
    </w:p>
    <w:p w:rsidR="00492C9C" w:rsidRDefault="00492C9C" w:rsidP="00492C9C">
      <w:r>
        <w:t xml:space="preserve">Según </w:t>
      </w:r>
      <w:r w:rsidRPr="00BE2E15">
        <w:t>investigaciones</w:t>
      </w:r>
      <w:r>
        <w:t xml:space="preserve"> del </w:t>
      </w:r>
      <w:r w:rsidRPr="00BE2E15">
        <w:t>Centro de Estudios Avanzados de la Universidad de Buenos Aires, sobre la evolución del consumo de alimentos en Argentina</w:t>
      </w:r>
      <w:r>
        <w:t>, “</w:t>
      </w:r>
      <w:r w:rsidRPr="00BE2E15">
        <w:t>lo que se veía era que, en los sectores más vulnerables de la población, la baja del consumo de frutas y hortalizas era muy marcada, y que ello tenía consecuencias en la salud de las familias”</w:t>
      </w:r>
      <w:r>
        <w:t>, manifestó Díaz</w:t>
      </w:r>
      <w:r w:rsidRPr="00BE2E15">
        <w:t>.</w:t>
      </w:r>
    </w:p>
    <w:p w:rsidR="00492C9C" w:rsidRDefault="00492C9C" w:rsidP="00492C9C">
      <w:r>
        <w:lastRenderedPageBreak/>
        <w:t xml:space="preserve">Un nuevo ministro </w:t>
      </w:r>
      <w:r w:rsidRPr="00BE2E15">
        <w:t xml:space="preserve">de Bienestar Social </w:t>
      </w:r>
      <w:r>
        <w:t>echó por tierra la posibilidad de ese</w:t>
      </w:r>
      <w:r w:rsidRPr="00BE2E15">
        <w:t xml:space="preserve"> financiamiento</w:t>
      </w:r>
      <w:r>
        <w:t>. No obstante, “s</w:t>
      </w:r>
      <w:r w:rsidRPr="00BE2E15">
        <w:t>e resolvió continuar con el proyecto de acuerdo con las capacidades presupuestarias que tenía el INTA”</w:t>
      </w:r>
      <w:r>
        <w:t>, precisó Díaz quien agregó que se resolvió que l</w:t>
      </w:r>
      <w:r w:rsidRPr="00BE2E15">
        <w:t xml:space="preserve">a adhesión </w:t>
      </w:r>
      <w:r>
        <w:t xml:space="preserve">sea </w:t>
      </w:r>
      <w:r w:rsidRPr="00BE2E15">
        <w:t>voluntaria</w:t>
      </w:r>
      <w:r>
        <w:t xml:space="preserve"> para</w:t>
      </w:r>
      <w:r w:rsidRPr="00BE2E15">
        <w:t xml:space="preserve"> implementar</w:t>
      </w:r>
      <w:r>
        <w:t>lo</w:t>
      </w:r>
      <w:r w:rsidRPr="00BE2E15">
        <w:t xml:space="preserve"> en </w:t>
      </w:r>
      <w:r>
        <w:t>esas e</w:t>
      </w:r>
      <w:r w:rsidRPr="00BE2E15">
        <w:t xml:space="preserve">staciones </w:t>
      </w:r>
      <w:r>
        <w:t>e</w:t>
      </w:r>
      <w:r w:rsidRPr="00BE2E15">
        <w:t xml:space="preserve">xperimentales, </w:t>
      </w:r>
      <w:r>
        <w:t>a</w:t>
      </w:r>
      <w:r w:rsidRPr="00BE2E15">
        <w:t xml:space="preserve">gencias o </w:t>
      </w:r>
      <w:r>
        <w:t>c</w:t>
      </w:r>
      <w:r w:rsidRPr="00BE2E15">
        <w:t xml:space="preserve">entros </w:t>
      </w:r>
      <w:r>
        <w:t>r</w:t>
      </w:r>
      <w:r w:rsidRPr="00BE2E15">
        <w:t>egionales que quisieran</w:t>
      </w:r>
      <w:r>
        <w:t>, siempre</w:t>
      </w:r>
      <w:r w:rsidRPr="00BE2E15">
        <w:t xml:space="preserve"> que no generara una complicación política a la institución, ya que estaba destinado no solo a pequeños </w:t>
      </w:r>
      <w:r>
        <w:t xml:space="preserve">productores </w:t>
      </w:r>
      <w:r w:rsidRPr="00BE2E15">
        <w:t xml:space="preserve">sino mayormente a población urbana en situación de pobreza, que no era, hasta ese momento, sujeto del accionar del </w:t>
      </w:r>
      <w:r>
        <w:t>instituto</w:t>
      </w:r>
      <w:r w:rsidRPr="00BE2E15">
        <w:t xml:space="preserve">. </w:t>
      </w:r>
    </w:p>
    <w:p w:rsidR="00492C9C" w:rsidRDefault="00492C9C" w:rsidP="00492C9C">
      <w:r>
        <w:t xml:space="preserve">El desarrollo del </w:t>
      </w:r>
      <w:proofErr w:type="spellStart"/>
      <w:r>
        <w:t>ProHuerta</w:t>
      </w:r>
      <w:proofErr w:type="spellEnd"/>
      <w:r>
        <w:t xml:space="preserve"> se sostuvo en experiencias previas del INTA, tales como el Hogar Rural </w:t>
      </w:r>
      <w:r w:rsidRPr="007B41C9">
        <w:t>–</w:t>
      </w:r>
      <w:r>
        <w:t>orientado a la familia rural</w:t>
      </w:r>
      <w:r w:rsidRPr="007B41C9">
        <w:t>–</w:t>
      </w:r>
      <w:r>
        <w:t xml:space="preserve"> </w:t>
      </w:r>
      <w:r w:rsidRPr="00BE2E15">
        <w:t xml:space="preserve">y se </w:t>
      </w:r>
      <w:r>
        <w:t>originó</w:t>
      </w:r>
      <w:r w:rsidRPr="00BE2E15">
        <w:t xml:space="preserve"> como una iniciativa de seguridad y soberanía alimentaria. “Sus objetivos eran mejorar la condición </w:t>
      </w:r>
      <w:r>
        <w:t xml:space="preserve">alimentaria de familias en situación de pobreza, complementar la alimentación a través de la autoproducción de alimentos, </w:t>
      </w:r>
      <w:r w:rsidRPr="00BE2E15">
        <w:t>promover una dieta más saludable, compuesta por alimentos más variados y de mejor calidad, mejorar el gasto familiar en alimentos e incrementar la participación y organización comunitarias para resolver los problemas alimentarios”</w:t>
      </w:r>
      <w:r>
        <w:t>, expresó Díaz.</w:t>
      </w:r>
    </w:p>
    <w:p w:rsidR="00492C9C" w:rsidRPr="00304AEA" w:rsidRDefault="00492C9C" w:rsidP="00492C9C">
      <w:pPr>
        <w:rPr>
          <w:b/>
        </w:rPr>
      </w:pPr>
      <w:r>
        <w:rPr>
          <w:b/>
        </w:rPr>
        <w:t xml:space="preserve">La apuesta </w:t>
      </w:r>
      <w:r w:rsidRPr="00304AEA">
        <w:rPr>
          <w:b/>
        </w:rPr>
        <w:t>por la huerta orgánica</w:t>
      </w:r>
    </w:p>
    <w:p w:rsidR="00492C9C" w:rsidRPr="00A54AF7" w:rsidRDefault="00492C9C" w:rsidP="00492C9C">
      <w:pPr>
        <w:rPr>
          <w:color w:val="FF0000"/>
        </w:rPr>
      </w:pPr>
      <w:r w:rsidRPr="001A3ECB">
        <w:t xml:space="preserve">“En la propuesta técnica del </w:t>
      </w:r>
      <w:r>
        <w:t>p</w:t>
      </w:r>
      <w:r w:rsidRPr="001A3ECB">
        <w:t>rograma nos jugamos fuerte por la huerta orgánica o agroecológica, lo que generó no pocas discusiones</w:t>
      </w:r>
      <w:r>
        <w:t>,</w:t>
      </w:r>
      <w:r w:rsidRPr="001A3ECB">
        <w:t xml:space="preserve"> </w:t>
      </w:r>
      <w:r>
        <w:t>p</w:t>
      </w:r>
      <w:r w:rsidRPr="001A3ECB">
        <w:t>ero estábamos convencidos de que el modelo debía ser ése, en base a cuestiones conceptuales y prácticas</w:t>
      </w:r>
      <w:r>
        <w:t>”, explicó Díaz quien agregó: “</w:t>
      </w:r>
      <w:r w:rsidRPr="001A3ECB">
        <w:t>Íbamos a trabajar con gente muy pobre, entonces teníamos que generar un modelo de huerta que fuese a costo cero. Debíamos producir los alimentos con lo que había del alambrado para adentro</w:t>
      </w:r>
      <w:r>
        <w:t>”, aseguró.</w:t>
      </w:r>
    </w:p>
    <w:p w:rsidR="00492C9C" w:rsidRDefault="00492C9C" w:rsidP="00492C9C">
      <w:r>
        <w:t>Además,</w:t>
      </w:r>
      <w:r w:rsidRPr="001A3ECB">
        <w:t xml:space="preserve"> se consideró que, si se manejaban bien las rotaciones y las asociaciones de cultivos, podía mejorarse la diversidad de cada huerta y la calidad del suelo. </w:t>
      </w:r>
      <w:r>
        <w:t xml:space="preserve">Para Díaz, debían </w:t>
      </w:r>
      <w:r w:rsidRPr="001A3ECB">
        <w:t>“</w:t>
      </w:r>
      <w:r>
        <w:t>c</w:t>
      </w:r>
      <w:r w:rsidRPr="001A3ECB">
        <w:t xml:space="preserve">ontar con un modelo que permitiese, a través de la capacitación y el acompañamiento técnico, que el suelo fuera mejorando en su calidad, </w:t>
      </w:r>
      <w:r>
        <w:t xml:space="preserve">que sea </w:t>
      </w:r>
      <w:r w:rsidRPr="001A3ECB">
        <w:t>biológicamente rico</w:t>
      </w:r>
      <w:r>
        <w:t>”</w:t>
      </w:r>
      <w:r w:rsidRPr="001A3ECB">
        <w:t xml:space="preserve">. </w:t>
      </w:r>
    </w:p>
    <w:p w:rsidR="00492C9C" w:rsidRPr="001A3ECB" w:rsidRDefault="00492C9C" w:rsidP="00492C9C">
      <w:r w:rsidRPr="001A3ECB">
        <w:t>También se tuvo en cuenta que la huerta estaría muy próxima a la vivienda de las familias y que, además, se trabajaría con niños en las escuelas, por lo que decidi</w:t>
      </w:r>
      <w:r>
        <w:t>eron</w:t>
      </w:r>
      <w:r w:rsidRPr="001A3ECB">
        <w:t xml:space="preserve"> prescindir de agroquímicos u otros productos de síntesis </w:t>
      </w:r>
      <w:r>
        <w:t>a fin de evitar riesgos</w:t>
      </w:r>
      <w:r w:rsidRPr="001A3ECB">
        <w:t>.</w:t>
      </w:r>
    </w:p>
    <w:p w:rsidR="00492C9C" w:rsidRDefault="00492C9C" w:rsidP="00492C9C">
      <w:r>
        <w:t>“</w:t>
      </w:r>
      <w:r w:rsidRPr="001A3ECB">
        <w:t>Junto a la huerta orgánica intensiva propusimos otro modelo: la chacra, una asociación de tres cultivos (maíz, zapallo y poroto), que es la “milpa” de las culturas de América Central y en las culturas andinas”</w:t>
      </w:r>
      <w:r>
        <w:t>, aseguró</w:t>
      </w:r>
      <w:r w:rsidRPr="001A3ECB">
        <w:t xml:space="preserve">. </w:t>
      </w:r>
    </w:p>
    <w:p w:rsidR="00492C9C" w:rsidRDefault="00492C9C" w:rsidP="00492C9C">
      <w:r>
        <w:t xml:space="preserve">Con respecto a la provisión de </w:t>
      </w:r>
      <w:r w:rsidRPr="001A3ECB">
        <w:t>semillas</w:t>
      </w:r>
      <w:r>
        <w:t>, optaron por esas</w:t>
      </w:r>
      <w:r w:rsidRPr="001A3ECB">
        <w:t xml:space="preserve"> que se adecuaran a las características </w:t>
      </w:r>
      <w:r>
        <w:t xml:space="preserve">promovidas por </w:t>
      </w:r>
      <w:r w:rsidRPr="001A3ECB">
        <w:t xml:space="preserve">el </w:t>
      </w:r>
      <w:proofErr w:type="spellStart"/>
      <w:r w:rsidRPr="001A3ECB">
        <w:t>ProHuerta</w:t>
      </w:r>
      <w:proofErr w:type="spellEnd"/>
      <w:r>
        <w:t>.</w:t>
      </w:r>
      <w:r w:rsidRPr="001A3ECB">
        <w:t xml:space="preserve"> “</w:t>
      </w:r>
      <w:r>
        <w:t>E</w:t>
      </w:r>
      <w:r w:rsidRPr="001A3ECB">
        <w:t>ncontramos que la Federación de Cooperativas Agropecuarias Limitada de San Juan (FECOAGRO) estaba comenzando a producir</w:t>
      </w:r>
      <w:r>
        <w:t>”, comentó Díaz.</w:t>
      </w:r>
    </w:p>
    <w:p w:rsidR="00492C9C" w:rsidRPr="001A3ECB" w:rsidRDefault="00492C9C" w:rsidP="00492C9C">
      <w:r>
        <w:t xml:space="preserve">Iniciaron con </w:t>
      </w:r>
      <w:r w:rsidRPr="001A3ECB">
        <w:t>unos cientos de kits, después unos miles</w:t>
      </w:r>
      <w:r>
        <w:t>, confeccionados según</w:t>
      </w:r>
      <w:r w:rsidRPr="001A3ECB">
        <w:t xml:space="preserve"> </w:t>
      </w:r>
      <w:r>
        <w:t>aquellas</w:t>
      </w:r>
      <w:r w:rsidRPr="001A3ECB">
        <w:t xml:space="preserve"> que </w:t>
      </w:r>
      <w:r>
        <w:t>se</w:t>
      </w:r>
      <w:r w:rsidRPr="001A3ECB">
        <w:t xml:space="preserve"> calcula</w:t>
      </w:r>
      <w:r>
        <w:t>ban</w:t>
      </w:r>
      <w:r w:rsidRPr="001A3ECB">
        <w:t xml:space="preserve"> para una huerta con una superficie de aproximadamente </w:t>
      </w:r>
      <w:r>
        <w:t>100</w:t>
      </w:r>
      <w:r w:rsidRPr="001A3ECB">
        <w:t xml:space="preserve"> metros cuadrados</w:t>
      </w:r>
      <w:r>
        <w:t>, con l</w:t>
      </w:r>
      <w:r w:rsidRPr="001A3ECB">
        <w:t xml:space="preserve">a </w:t>
      </w:r>
      <w:r w:rsidRPr="001A3ECB">
        <w:lastRenderedPageBreak/>
        <w:t xml:space="preserve">condición </w:t>
      </w:r>
      <w:r>
        <w:t>de que fueran</w:t>
      </w:r>
      <w:r w:rsidRPr="001A3ECB">
        <w:t xml:space="preserve"> variedades y no híbridos y que las semillas </w:t>
      </w:r>
      <w:r>
        <w:t>no tuvieran</w:t>
      </w:r>
      <w:r w:rsidRPr="001A3ECB">
        <w:t xml:space="preserve"> tratamientos químicos. </w:t>
      </w:r>
      <w:r>
        <w:t>“</w:t>
      </w:r>
      <w:r w:rsidRPr="001A3ECB">
        <w:t>Cuando el programa toma más importancia</w:t>
      </w:r>
      <w:r>
        <w:t>,</w:t>
      </w:r>
      <w:r w:rsidRPr="001A3ECB">
        <w:t xml:space="preserve"> la compra se hizo por licitación pública”</w:t>
      </w:r>
      <w:r>
        <w:t>, indicó</w:t>
      </w:r>
      <w:r w:rsidRPr="001A3ECB">
        <w:t>.</w:t>
      </w:r>
    </w:p>
    <w:p w:rsidR="00492C9C" w:rsidRPr="00304AEA" w:rsidRDefault="00492C9C" w:rsidP="00492C9C">
      <w:pPr>
        <w:rPr>
          <w:b/>
        </w:rPr>
      </w:pPr>
      <w:r w:rsidRPr="00304AEA">
        <w:rPr>
          <w:b/>
        </w:rPr>
        <w:t>Mucho más que producción hortícola</w:t>
      </w:r>
    </w:p>
    <w:p w:rsidR="00492C9C" w:rsidRDefault="00492C9C" w:rsidP="00492C9C">
      <w:r>
        <w:t>El aspecto por el cual el programa es, en la actualidad, principalmente reconocido es la producción hortícola. Sin embargo, ese es solamente uno de los siete</w:t>
      </w:r>
      <w:r w:rsidRPr="00DC3BA1">
        <w:t xml:space="preserve"> </w:t>
      </w:r>
      <w:r>
        <w:t>ejes temáticos abordados, al que se suman la granja, los cultivos locales, los frutales, los grupos de abastecimiento local de alimentos, la comercialización y el acceso al agua.</w:t>
      </w:r>
    </w:p>
    <w:p w:rsidR="00492C9C" w:rsidRDefault="00492C9C" w:rsidP="00492C9C">
      <w:r>
        <w:t xml:space="preserve">Con respecto a los públicos objetivo priorizados, están los </w:t>
      </w:r>
      <w:r w:rsidRPr="00C15196">
        <w:t>jóvenes</w:t>
      </w:r>
      <w:r>
        <w:t>,</w:t>
      </w:r>
      <w:r w:rsidRPr="00C15196">
        <w:t xml:space="preserve"> </w:t>
      </w:r>
      <w:r>
        <w:t>las mujeres y la población originaria. Los primeros,</w:t>
      </w:r>
      <w:r w:rsidRPr="00C15196">
        <w:t xml:space="preserve"> para contribuir a su integración y arraigo en sus comunidades y </w:t>
      </w:r>
      <w:r>
        <w:t xml:space="preserve">el </w:t>
      </w:r>
      <w:r w:rsidRPr="00C15196">
        <w:t xml:space="preserve">territorio; </w:t>
      </w:r>
      <w:r>
        <w:t>el segundo grupo</w:t>
      </w:r>
      <w:r w:rsidRPr="00C15196">
        <w:t>, en el enfoque de género</w:t>
      </w:r>
      <w:r>
        <w:t>,</w:t>
      </w:r>
      <w:r w:rsidRPr="00C15196">
        <w:t xml:space="preserve"> </w:t>
      </w:r>
      <w:r>
        <w:t>en pos de</w:t>
      </w:r>
      <w:r w:rsidRPr="00C15196">
        <w:t xml:space="preserve"> una mayor equidad e inclusión social;</w:t>
      </w:r>
      <w:r>
        <w:t xml:space="preserve"> el tercer conjunto</w:t>
      </w:r>
      <w:r w:rsidRPr="00C15196">
        <w:t xml:space="preserve">, </w:t>
      </w:r>
      <w:r>
        <w:t xml:space="preserve">teniendo el eje en </w:t>
      </w:r>
      <w:r w:rsidRPr="00C15196">
        <w:t>apoya</w:t>
      </w:r>
      <w:r>
        <w:t>r</w:t>
      </w:r>
      <w:r w:rsidRPr="00C15196">
        <w:t xml:space="preserve"> sus </w:t>
      </w:r>
      <w:r>
        <w:t>modos</w:t>
      </w:r>
      <w:r w:rsidRPr="00C15196">
        <w:t xml:space="preserve"> de producción y organización social y fortalec</w:t>
      </w:r>
      <w:r>
        <w:t>er</w:t>
      </w:r>
      <w:r w:rsidRPr="00C15196">
        <w:t xml:space="preserve"> la autogestión, el bienestar colectivo y el control de la comunidad sobre sus recursos.</w:t>
      </w:r>
    </w:p>
    <w:p w:rsidR="00492C9C" w:rsidRPr="00EE2002" w:rsidRDefault="00492C9C" w:rsidP="00492C9C">
      <w:pPr>
        <w:pBdr>
          <w:top w:val="nil"/>
          <w:left w:val="nil"/>
          <w:bottom w:val="nil"/>
          <w:right w:val="nil"/>
          <w:between w:val="nil"/>
        </w:pBdr>
        <w:spacing w:before="120"/>
        <w:ind w:left="-20" w:right="60"/>
        <w:jc w:val="both"/>
      </w:pPr>
      <w:r>
        <w:t xml:space="preserve">Con respecto a </w:t>
      </w:r>
      <w:r w:rsidRPr="00EE2002">
        <w:t xml:space="preserve">las áreas en </w:t>
      </w:r>
      <w:r>
        <w:t xml:space="preserve">las cuales </w:t>
      </w:r>
      <w:r w:rsidRPr="00EE2002">
        <w:t xml:space="preserve">se sitúan las </w:t>
      </w:r>
      <w:r w:rsidRPr="004B1E7D">
        <w:t>huertas y granjas</w:t>
      </w:r>
      <w:r w:rsidRPr="00EE2002">
        <w:t xml:space="preserve"> involucradas</w:t>
      </w:r>
      <w:r>
        <w:t>,</w:t>
      </w:r>
      <w:r w:rsidRPr="004B1E7D">
        <w:t xml:space="preserve"> el 70 % está en </w:t>
      </w:r>
      <w:r>
        <w:t>zonas</w:t>
      </w:r>
      <w:r w:rsidRPr="004B1E7D">
        <w:t xml:space="preserve"> urbanas y periurbanas de más de 3.700 localidades, barrios y parajes </w:t>
      </w:r>
      <w:r w:rsidRPr="00EE2002">
        <w:t xml:space="preserve">de todo el país. </w:t>
      </w:r>
      <w:r>
        <w:t xml:space="preserve">Así se sostiene su </w:t>
      </w:r>
      <w:r w:rsidRPr="00EE2002">
        <w:t>estrecha</w:t>
      </w:r>
      <w:r>
        <w:t xml:space="preserve"> </w:t>
      </w:r>
      <w:r w:rsidRPr="00EE2002">
        <w:t>vincula</w:t>
      </w:r>
      <w:r>
        <w:t>ción con e</w:t>
      </w:r>
      <w:r w:rsidRPr="00EE2002">
        <w:t>l concepto de “</w:t>
      </w:r>
      <w:r w:rsidRPr="004B1E7D">
        <w:t>agricultura urbana</w:t>
      </w:r>
      <w:r w:rsidRPr="00EE2002">
        <w:t>”.</w:t>
      </w:r>
    </w:p>
    <w:p w:rsidR="00492C9C" w:rsidRDefault="00492C9C" w:rsidP="00492C9C">
      <w:pPr>
        <w:pStyle w:val="Ttulo1"/>
      </w:pPr>
      <w:r w:rsidRPr="002C5F5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Sus e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strategias de a</w:t>
      </w:r>
      <w:r w:rsidRPr="002C5F5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cción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son integrales: abarcan desde la asistencia t</w:t>
      </w:r>
      <w:r w:rsidRPr="002C5F5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écnica y capacitación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, entrega de i</w:t>
      </w:r>
      <w:r w:rsidRPr="002C5F5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nsumos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c</w:t>
      </w:r>
      <w:r w:rsidRPr="002C5F5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ríticos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Pr="009B0875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–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s</w:t>
      </w:r>
      <w:r w:rsidRPr="002C5F5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emillas, animales de granja, herramientas y materiales–, el financiamiento de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p</w:t>
      </w:r>
      <w:r w:rsidRPr="002C5F5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royectos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, la </w:t>
      </w:r>
      <w:r w:rsidRPr="002C5F5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formación y el fortalecimiento de red promotores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y la </w:t>
      </w:r>
      <w:r w:rsidRPr="002C5F5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comunicación 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acerca de</w:t>
      </w:r>
      <w:r w:rsidRPr="002C5F5D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temas estratégicos, con énfasis en perspectiva de género y enfoque intercultural.</w:t>
      </w:r>
      <w:r w:rsidRPr="003707BB">
        <w:t xml:space="preserve"> </w:t>
      </w:r>
    </w:p>
    <w:p w:rsidR="00492C9C" w:rsidRPr="00225972" w:rsidRDefault="00492C9C" w:rsidP="00492C9C">
      <w:pPr>
        <w:pBdr>
          <w:top w:val="nil"/>
          <w:left w:val="nil"/>
          <w:bottom w:val="nil"/>
          <w:right w:val="nil"/>
          <w:between w:val="nil"/>
        </w:pBdr>
        <w:spacing w:before="120"/>
        <w:ind w:left="-20" w:right="60"/>
        <w:jc w:val="both"/>
        <w:rPr>
          <w:b/>
        </w:rPr>
      </w:pPr>
      <w:r>
        <w:rPr>
          <w:b/>
        </w:rPr>
        <w:t xml:space="preserve">Impactos actuales del </w:t>
      </w:r>
      <w:proofErr w:type="spellStart"/>
      <w:r>
        <w:rPr>
          <w:b/>
        </w:rPr>
        <w:t>Prohuerta</w:t>
      </w:r>
      <w:proofErr w:type="spellEnd"/>
    </w:p>
    <w:p w:rsidR="00492C9C" w:rsidRPr="004D0851" w:rsidRDefault="00492C9C" w:rsidP="00492C9C">
      <w:pPr>
        <w:spacing w:before="240" w:after="240"/>
      </w:pPr>
      <w:r>
        <w:t xml:space="preserve">Para </w:t>
      </w:r>
      <w:r w:rsidRPr="004D0851">
        <w:t xml:space="preserve">las </w:t>
      </w:r>
      <w:r w:rsidRPr="000C59CC">
        <w:t>huertas familiares</w:t>
      </w:r>
      <w:r w:rsidRPr="004D0851">
        <w:t xml:space="preserve"> </w:t>
      </w:r>
      <w:r w:rsidRPr="007B41C9">
        <w:t>–</w:t>
      </w:r>
      <w:r w:rsidRPr="000C59CC">
        <w:t>617.975 a lo largo del país</w:t>
      </w:r>
      <w:r w:rsidRPr="007B41C9">
        <w:t>–</w:t>
      </w:r>
      <w:r w:rsidRPr="000C59CC">
        <w:t xml:space="preserve"> </w:t>
      </w:r>
      <w:r>
        <w:t>y</w:t>
      </w:r>
      <w:r w:rsidRPr="004D0851">
        <w:t xml:space="preserve"> las </w:t>
      </w:r>
      <w:r w:rsidRPr="000C59CC">
        <w:t>comunitaria</w:t>
      </w:r>
      <w:r w:rsidRPr="004D0851">
        <w:t>s</w:t>
      </w:r>
      <w:r>
        <w:t xml:space="preserve"> </w:t>
      </w:r>
      <w:r w:rsidRPr="007B41C9">
        <w:t>–</w:t>
      </w:r>
      <w:r w:rsidRPr="000C59CC">
        <w:t>1.826</w:t>
      </w:r>
      <w:r w:rsidRPr="007B41C9">
        <w:t>–</w:t>
      </w:r>
      <w:r w:rsidRPr="004D0851">
        <w:t xml:space="preserve">, los modelos atienden apropiadamente las condiciones de </w:t>
      </w:r>
      <w:r w:rsidRPr="000C59CC">
        <w:t>autoabastecimient</w:t>
      </w:r>
      <w:r w:rsidRPr="004D0851">
        <w:t>o</w:t>
      </w:r>
      <w:r>
        <w:t>. Con respecto a</w:t>
      </w:r>
      <w:r w:rsidRPr="004D0851">
        <w:t xml:space="preserve"> las escolares</w:t>
      </w:r>
      <w:r>
        <w:t xml:space="preserve"> </w:t>
      </w:r>
      <w:r w:rsidRPr="007B41C9">
        <w:t>–</w:t>
      </w:r>
      <w:r w:rsidRPr="000C59CC">
        <w:t>13.000</w:t>
      </w:r>
      <w:r w:rsidRPr="007B41C9">
        <w:t>–</w:t>
      </w:r>
      <w:r>
        <w:t>,</w:t>
      </w:r>
      <w:r w:rsidRPr="004D0851">
        <w:t xml:space="preserve"> cumplen un rol motivacional y pedagógico</w:t>
      </w:r>
      <w:r>
        <w:t xml:space="preserve"> y</w:t>
      </w:r>
      <w:r w:rsidRPr="004D0851">
        <w:t xml:space="preserve"> complementan subsidiariamente el aprovisionamiento del comedor.</w:t>
      </w:r>
    </w:p>
    <w:p w:rsidR="00492C9C" w:rsidRPr="004D0851" w:rsidRDefault="00492C9C" w:rsidP="00492C9C">
      <w:pPr>
        <w:pBdr>
          <w:top w:val="nil"/>
          <w:left w:val="nil"/>
          <w:bottom w:val="nil"/>
          <w:right w:val="nil"/>
          <w:between w:val="nil"/>
        </w:pBdr>
        <w:spacing w:before="120"/>
        <w:ind w:left="-20" w:right="60"/>
        <w:jc w:val="both"/>
      </w:pPr>
      <w:r w:rsidRPr="000C59CC">
        <w:t>Por las evaluaciones nutricionales realizadas, según las estimaciones de producción de huertas familiares típicas, las mismas cubrirían alrededor del 72 % de la recomendación global de consumo y cerca del 75 % y 37 % de las recomendaciones de vitaminas A y C</w:t>
      </w:r>
      <w:r>
        <w:t>,</w:t>
      </w:r>
      <w:r w:rsidRPr="000C59CC">
        <w:t xml:space="preserve"> respectivamente. En términos de nutrientes críticos (no aportados por otros programas alimentarios), </w:t>
      </w:r>
      <w:proofErr w:type="spellStart"/>
      <w:r w:rsidRPr="000C59CC">
        <w:t>ProHuerta</w:t>
      </w:r>
      <w:proofErr w:type="spellEnd"/>
      <w:r w:rsidRPr="000C59CC">
        <w:t xml:space="preserve"> permitiría, acompañado de una propuesta regular de educación alimentaria, un salto cualitativo hacia la diversificación de la dieta de las familias beneficiarias.</w:t>
      </w:r>
    </w:p>
    <w:p w:rsidR="00492C9C" w:rsidRPr="002C376F" w:rsidRDefault="00492C9C" w:rsidP="00492C9C">
      <w:pPr>
        <w:spacing w:before="240" w:after="240"/>
        <w:jc w:val="both"/>
      </w:pPr>
      <w:r>
        <w:t xml:space="preserve">Articulando el programa con </w:t>
      </w:r>
      <w:r w:rsidRPr="002C376F">
        <w:t>instituciones locales</w:t>
      </w:r>
      <w:r>
        <w:t xml:space="preserve">, </w:t>
      </w:r>
      <w:r w:rsidRPr="002C376F">
        <w:t xml:space="preserve">en los últimos años, </w:t>
      </w:r>
      <w:r w:rsidRPr="000C59CC">
        <w:t>más de 16 mil familias</w:t>
      </w:r>
      <w:r w:rsidRPr="002C376F">
        <w:t xml:space="preserve"> de los parajes donde el </w:t>
      </w:r>
      <w:r w:rsidRPr="000C59CC">
        <w:t xml:space="preserve">agua </w:t>
      </w:r>
      <w:r w:rsidRPr="002C376F">
        <w:t xml:space="preserve">es </w:t>
      </w:r>
      <w:r>
        <w:t xml:space="preserve">insumo </w:t>
      </w:r>
      <w:r w:rsidRPr="002C376F">
        <w:t xml:space="preserve">crítico, están logrando </w:t>
      </w:r>
      <w:r w:rsidRPr="000C59CC">
        <w:t>acceso directo</w:t>
      </w:r>
      <w:r w:rsidRPr="002C376F">
        <w:t xml:space="preserve"> mediante tecnologías como cisterna placa, protección de vertientes, pozos someros, represas, canalizaciones y perforaciones.</w:t>
      </w:r>
    </w:p>
    <w:p w:rsidR="00492C9C" w:rsidRPr="00DA3E7E" w:rsidRDefault="00492C9C" w:rsidP="00492C9C">
      <w:pPr>
        <w:pBdr>
          <w:top w:val="nil"/>
          <w:left w:val="nil"/>
          <w:bottom w:val="nil"/>
          <w:right w:val="nil"/>
          <w:between w:val="nil"/>
        </w:pBdr>
        <w:spacing w:before="120"/>
        <w:ind w:left="-20" w:right="60"/>
        <w:jc w:val="both"/>
      </w:pPr>
      <w:r w:rsidRPr="00DA3E7E">
        <w:lastRenderedPageBreak/>
        <w:t xml:space="preserve">Desde la </w:t>
      </w:r>
      <w:r w:rsidRPr="000C59CC">
        <w:t>perspectiva ambiental,</w:t>
      </w:r>
      <w:r w:rsidRPr="00DA3E7E">
        <w:t xml:space="preserve"> contribuye a </w:t>
      </w:r>
      <w:r w:rsidRPr="000C59CC">
        <w:t>mejorar las condiciones sanitarias</w:t>
      </w:r>
      <w:r w:rsidRPr="00DA3E7E">
        <w:t xml:space="preserve"> del área </w:t>
      </w:r>
      <w:r>
        <w:t>donde</w:t>
      </w:r>
      <w:r w:rsidRPr="00DA3E7E">
        <w:t xml:space="preserve"> discurre, </w:t>
      </w:r>
      <w:r w:rsidRPr="000C59CC">
        <w:t>fortalece la biodiversidad</w:t>
      </w:r>
      <w:r w:rsidRPr="00DA3E7E">
        <w:t xml:space="preserve"> </w:t>
      </w:r>
      <w:r>
        <w:t>con</w:t>
      </w:r>
      <w:r w:rsidRPr="00DA3E7E">
        <w:t xml:space="preserve"> la producción de especies autóctonas o desplazadas adaptadas a nivel local e integra técnicas ancestrales con avanzados conocimientos agronómicos, </w:t>
      </w:r>
      <w:r>
        <w:t>a</w:t>
      </w:r>
      <w:r w:rsidRPr="00DA3E7E">
        <w:t xml:space="preserve"> fin de facilitar</w:t>
      </w:r>
      <w:r>
        <w:t xml:space="preserve"> a</w:t>
      </w:r>
      <w:r w:rsidRPr="00DA3E7E">
        <w:t xml:space="preserve"> la población destinataria que produzca sus alimentos de manera eficiente, social, económica y sustentable, teniendo como eje principal la </w:t>
      </w:r>
      <w:r w:rsidRPr="000C59CC">
        <w:t>agroecología</w:t>
      </w:r>
      <w:r w:rsidRPr="00DA3E7E">
        <w:t xml:space="preserve">. </w:t>
      </w:r>
    </w:p>
    <w:p w:rsidR="00492C9C" w:rsidRPr="00EE2002" w:rsidRDefault="00492C9C" w:rsidP="00492C9C">
      <w:pPr>
        <w:pBdr>
          <w:top w:val="nil"/>
          <w:left w:val="nil"/>
          <w:bottom w:val="nil"/>
          <w:right w:val="nil"/>
          <w:between w:val="nil"/>
        </w:pBdr>
        <w:spacing w:before="120"/>
        <w:ind w:left="-20" w:right="60"/>
        <w:jc w:val="both"/>
      </w:pPr>
      <w:r w:rsidRPr="000C59CC">
        <w:t>El relevamiento de las áreas en que se sitúan las huertas y granjas involucradas revela que casi el 70 % está en las áreas urbanas y periurbanas de más de 3.700 localidades, barrios y parajes de todo el país. De ahí que está estrechamente vinculado al concepto de “agricultura urbana”.</w:t>
      </w:r>
    </w:p>
    <w:p w:rsidR="00492C9C" w:rsidRPr="008A08E9" w:rsidRDefault="00492C9C" w:rsidP="00492C9C">
      <w:pPr>
        <w:rPr>
          <w:b/>
        </w:rPr>
      </w:pPr>
      <w:r w:rsidRPr="008A08E9">
        <w:rPr>
          <w:b/>
        </w:rPr>
        <w:t>Logros</w:t>
      </w:r>
      <w:r>
        <w:rPr>
          <w:b/>
        </w:rPr>
        <w:t xml:space="preserve"> que trascienden las fronteras</w:t>
      </w:r>
    </w:p>
    <w:p w:rsidR="00492C9C" w:rsidRDefault="00492C9C" w:rsidP="00492C9C">
      <w:r>
        <w:t>L</w:t>
      </w:r>
      <w:r w:rsidRPr="002048B1">
        <w:t xml:space="preserve">o que </w:t>
      </w:r>
      <w:r>
        <w:t>empezó como</w:t>
      </w:r>
      <w:r w:rsidRPr="002048B1">
        <w:t xml:space="preserve"> un proyecto a corto plazo se convirtió en un camino de crecimiento y cooperación.</w:t>
      </w:r>
      <w:r>
        <w:t xml:space="preserve"> Comenzó en los c</w:t>
      </w:r>
      <w:r w:rsidRPr="001A3ECB">
        <w:t xml:space="preserve">entros </w:t>
      </w:r>
      <w:r>
        <w:t>r</w:t>
      </w:r>
      <w:r w:rsidRPr="001A3ECB">
        <w:t xml:space="preserve">egionales Buenos Aires Sur y Santa Fe, las </w:t>
      </w:r>
      <w:r>
        <w:t>e</w:t>
      </w:r>
      <w:r w:rsidRPr="001A3ECB">
        <w:t xml:space="preserve">staciones </w:t>
      </w:r>
      <w:r>
        <w:t>e</w:t>
      </w:r>
      <w:r w:rsidRPr="001A3ECB">
        <w:t xml:space="preserve">xperimentales de </w:t>
      </w:r>
      <w:proofErr w:type="spellStart"/>
      <w:r w:rsidRPr="001A3ECB">
        <w:t>Trelew</w:t>
      </w:r>
      <w:proofErr w:type="spellEnd"/>
      <w:r w:rsidRPr="001A3ECB">
        <w:t xml:space="preserve">, Mendoza y San Juan, la Agencia de Extensión de Villa María </w:t>
      </w:r>
      <w:r w:rsidRPr="007B41C9">
        <w:t>–</w:t>
      </w:r>
      <w:r w:rsidRPr="001A3ECB">
        <w:t>Córdoba</w:t>
      </w:r>
      <w:r w:rsidRPr="007B41C9">
        <w:t>–</w:t>
      </w:r>
      <w:r w:rsidRPr="001A3ECB">
        <w:t xml:space="preserve"> y el Gran Buenos Aires </w:t>
      </w:r>
      <w:r w:rsidRPr="007B41C9">
        <w:t>–</w:t>
      </w:r>
      <w:r w:rsidRPr="001A3ECB">
        <w:t xml:space="preserve">a cargo de la Coordinación nacional de </w:t>
      </w:r>
      <w:proofErr w:type="spellStart"/>
      <w:r w:rsidRPr="001A3ECB">
        <w:t>ProHuerta</w:t>
      </w:r>
      <w:proofErr w:type="spellEnd"/>
      <w:r w:rsidRPr="007B41C9">
        <w:t>–</w:t>
      </w:r>
      <w:r>
        <w:t xml:space="preserve">, y </w:t>
      </w:r>
      <w:r w:rsidRPr="00171E8D">
        <w:t xml:space="preserve">se </w:t>
      </w:r>
      <w:r>
        <w:t>extendió</w:t>
      </w:r>
      <w:r w:rsidRPr="00171E8D">
        <w:t xml:space="preserve"> </w:t>
      </w:r>
      <w:r>
        <w:t>a</w:t>
      </w:r>
      <w:r w:rsidRPr="00171E8D">
        <w:t xml:space="preserve"> todo el país</w:t>
      </w:r>
      <w:r>
        <w:t xml:space="preserve">. </w:t>
      </w:r>
    </w:p>
    <w:p w:rsidR="00492C9C" w:rsidRDefault="00492C9C" w:rsidP="00492C9C">
      <w:r>
        <w:t>L</w:t>
      </w:r>
      <w:r w:rsidRPr="00171E8D">
        <w:t>a trama interinstitucional que se conformó</w:t>
      </w:r>
      <w:r>
        <w:t xml:space="preserve"> es o</w:t>
      </w:r>
      <w:r w:rsidRPr="00171E8D">
        <w:t xml:space="preserve">tro </w:t>
      </w:r>
      <w:r>
        <w:t>logro</w:t>
      </w:r>
      <w:r w:rsidRPr="00171E8D">
        <w:t xml:space="preserve"> </w:t>
      </w:r>
      <w:r>
        <w:t>relevante</w:t>
      </w:r>
      <w:r w:rsidRPr="00171E8D">
        <w:t xml:space="preserve"> e inédit</w:t>
      </w:r>
      <w:r>
        <w:t>o, no sólo pa</w:t>
      </w:r>
      <w:r w:rsidRPr="00171E8D">
        <w:t>ra el INTA</w:t>
      </w:r>
      <w:r>
        <w:t>, sino también para</w:t>
      </w:r>
      <w:r w:rsidRPr="00171E8D">
        <w:t xml:space="preserve"> </w:t>
      </w:r>
      <w:r>
        <w:t>otros</w:t>
      </w:r>
      <w:r w:rsidRPr="00171E8D">
        <w:t xml:space="preserve"> organismos nacionales. Todo a partir de una alianza estratégica permanente </w:t>
      </w:r>
      <w:r>
        <w:t>con</w:t>
      </w:r>
      <w:r w:rsidRPr="00171E8D">
        <w:t xml:space="preserve"> el Ministerio de Desarrollo Social de la Nación (MDS), que incorpor</w:t>
      </w:r>
      <w:r>
        <w:t>ó</w:t>
      </w:r>
      <w:r w:rsidRPr="00171E8D">
        <w:t xml:space="preserve"> al programa en el Plan Nacional de Seguridad Alimentaria en 2003. </w:t>
      </w:r>
    </w:p>
    <w:p w:rsidR="00492C9C" w:rsidRDefault="00492C9C" w:rsidP="00492C9C">
      <w:r>
        <w:t xml:space="preserve">Por el interés que despertó por parte de organismos internacionales, </w:t>
      </w:r>
      <w:r w:rsidRPr="00171E8D">
        <w:t xml:space="preserve">el </w:t>
      </w:r>
      <w:proofErr w:type="spellStart"/>
      <w:r w:rsidRPr="00171E8D">
        <w:t>ProHuerta</w:t>
      </w:r>
      <w:proofErr w:type="spellEnd"/>
      <w:r w:rsidRPr="00171E8D">
        <w:t xml:space="preserve"> trascendió las fronteras. </w:t>
      </w:r>
      <w:r>
        <w:t>A mediados de los 90, fue requerido para ir a Armenia, donde en</w:t>
      </w:r>
      <w:r w:rsidRPr="002048B1">
        <w:t xml:space="preserve"> dos años, se produjeron más de </w:t>
      </w:r>
      <w:r>
        <w:t xml:space="preserve">1.000 </w:t>
      </w:r>
      <w:r w:rsidRPr="002048B1">
        <w:t xml:space="preserve">huertas y se tradujeron los materiales al idioma de ese país. </w:t>
      </w:r>
    </w:p>
    <w:p w:rsidR="00492C9C" w:rsidRDefault="00492C9C" w:rsidP="00492C9C">
      <w:r w:rsidRPr="002048B1">
        <w:t>En 2001</w:t>
      </w:r>
      <w:r>
        <w:t>,</w:t>
      </w:r>
      <w:r w:rsidRPr="002048B1">
        <w:t xml:space="preserve"> Panamá </w:t>
      </w:r>
      <w:r>
        <w:t xml:space="preserve">pidió </w:t>
      </w:r>
      <w:r w:rsidRPr="002048B1">
        <w:t>conformar un programa equivalente en ese país</w:t>
      </w:r>
      <w:r>
        <w:t xml:space="preserve"> y luego sucedió lo mismo</w:t>
      </w:r>
      <w:r w:rsidRPr="002048B1">
        <w:t xml:space="preserve"> con Colombia y Bolivia. </w:t>
      </w:r>
    </w:p>
    <w:p w:rsidR="00492C9C" w:rsidRDefault="00492C9C" w:rsidP="00492C9C">
      <w:r>
        <w:t>A</w:t>
      </w:r>
      <w:r w:rsidRPr="002048B1">
        <w:t xml:space="preserve"> través de Naciones Unidas, </w:t>
      </w:r>
      <w:r>
        <w:t>e</w:t>
      </w:r>
      <w:r w:rsidRPr="002048B1">
        <w:t xml:space="preserve">n el año 2005, </w:t>
      </w:r>
      <w:r>
        <w:t xml:space="preserve">la </w:t>
      </w:r>
      <w:r w:rsidRPr="002048B1">
        <w:t xml:space="preserve">Argentina es convocada a colaborar con la pacificación y desarrollo de Haití, mediante la participación del INTA, </w:t>
      </w:r>
      <w:r>
        <w:t xml:space="preserve">el </w:t>
      </w:r>
      <w:r w:rsidRPr="002048B1">
        <w:t>M</w:t>
      </w:r>
      <w:r>
        <w:t xml:space="preserve">inisterio de </w:t>
      </w:r>
      <w:r w:rsidRPr="002048B1">
        <w:t>D</w:t>
      </w:r>
      <w:r>
        <w:t xml:space="preserve">esarrollo </w:t>
      </w:r>
      <w:r w:rsidRPr="002048B1">
        <w:t>S</w:t>
      </w:r>
      <w:r>
        <w:t>ocial</w:t>
      </w:r>
      <w:r w:rsidRPr="002048B1">
        <w:t xml:space="preserve"> y </w:t>
      </w:r>
      <w:r>
        <w:t xml:space="preserve">la </w:t>
      </w:r>
      <w:r w:rsidRPr="002048B1">
        <w:t>Cancillería</w:t>
      </w:r>
      <w:r>
        <w:t xml:space="preserve">, lo cual </w:t>
      </w:r>
      <w:r w:rsidRPr="002048B1">
        <w:t>dio lugar al programa Pro-Huerta Haití</w:t>
      </w:r>
      <w:r>
        <w:t>. Con</w:t>
      </w:r>
      <w:r w:rsidRPr="002048B1">
        <w:t xml:space="preserve"> más de </w:t>
      </w:r>
      <w:r>
        <w:t>10</w:t>
      </w:r>
      <w:r w:rsidRPr="002048B1">
        <w:t xml:space="preserve"> años de duración, un equipo de casi 30 técnicos haitianos y aporte de </w:t>
      </w:r>
      <w:r>
        <w:t xml:space="preserve">ocho </w:t>
      </w:r>
      <w:r w:rsidRPr="002048B1">
        <w:t xml:space="preserve">cooperaciones internacionales </w:t>
      </w:r>
      <w:r w:rsidRPr="007B41C9">
        <w:t>–</w:t>
      </w:r>
      <w:r w:rsidRPr="002048B1">
        <w:t xml:space="preserve">principalmente de Canadá, España y </w:t>
      </w:r>
      <w:proofErr w:type="spellStart"/>
      <w:r w:rsidRPr="002048B1">
        <w:t>Unasur</w:t>
      </w:r>
      <w:proofErr w:type="spellEnd"/>
      <w:r w:rsidRPr="007B41C9">
        <w:t>–</w:t>
      </w:r>
      <w:r>
        <w:t xml:space="preserve">, </w:t>
      </w:r>
      <w:r w:rsidRPr="002048B1">
        <w:t xml:space="preserve">alcanzó a cerca de 300 mil personas en todos los departamentos del país. </w:t>
      </w:r>
      <w:r>
        <w:t xml:space="preserve">Esta </w:t>
      </w:r>
      <w:r w:rsidRPr="002048B1">
        <w:t xml:space="preserve">experiencia le valió a </w:t>
      </w:r>
      <w:r>
        <w:t xml:space="preserve">la Argentina </w:t>
      </w:r>
      <w:r w:rsidRPr="002048B1">
        <w:t xml:space="preserve">un premio de Naciones Unidas. </w:t>
      </w:r>
    </w:p>
    <w:p w:rsidR="00DD24C9" w:rsidRPr="00A2791F" w:rsidRDefault="00492C9C" w:rsidP="00A2791F">
      <w:r w:rsidRPr="002048B1">
        <w:t xml:space="preserve">Después se iniciaron proyectos con Guatemala y Mozambique y comenzaron los cursos internacionales en </w:t>
      </w:r>
      <w:r>
        <w:t xml:space="preserve">la </w:t>
      </w:r>
      <w:r w:rsidRPr="002048B1">
        <w:t xml:space="preserve">Argentina, para técnicos de América Latina y el Caribe y África </w:t>
      </w:r>
      <w:r w:rsidRPr="007B41C9">
        <w:t>–</w:t>
      </w:r>
      <w:r w:rsidRPr="002048B1">
        <w:t>con apoyo del M</w:t>
      </w:r>
      <w:r>
        <w:t xml:space="preserve">inisterio de </w:t>
      </w:r>
      <w:r w:rsidRPr="002048B1">
        <w:t>D</w:t>
      </w:r>
      <w:r>
        <w:t xml:space="preserve">esarrollo </w:t>
      </w:r>
      <w:r w:rsidRPr="002048B1">
        <w:t>S</w:t>
      </w:r>
      <w:r>
        <w:t>ocial</w:t>
      </w:r>
      <w:r w:rsidRPr="002048B1">
        <w:t>, INTA, Cancillería y JICA</w:t>
      </w:r>
      <w:r w:rsidRPr="007B41C9">
        <w:t>–</w:t>
      </w:r>
      <w:r w:rsidRPr="002048B1">
        <w:t xml:space="preserve"> para </w:t>
      </w:r>
      <w:r>
        <w:t>diseñar</w:t>
      </w:r>
      <w:r w:rsidRPr="002048B1">
        <w:t xml:space="preserve"> programas equivalentes a</w:t>
      </w:r>
      <w:r>
        <w:t>l</w:t>
      </w:r>
      <w:r w:rsidRPr="002048B1">
        <w:t xml:space="preserve"> </w:t>
      </w:r>
      <w:proofErr w:type="spellStart"/>
      <w:r w:rsidRPr="002048B1">
        <w:t>ProHuerta</w:t>
      </w:r>
      <w:proofErr w:type="spellEnd"/>
      <w:r w:rsidRPr="002048B1">
        <w:t>.</w:t>
      </w:r>
    </w:p>
    <w:sectPr w:rsidR="00DD24C9" w:rsidRPr="00A2791F" w:rsidSect="00C807F0">
      <w:headerReference w:type="default" r:id="rId7"/>
      <w:footerReference w:type="default" r:id="rId8"/>
      <w:pgSz w:w="11906" w:h="16838" w:code="9"/>
      <w:pgMar w:top="3005" w:right="1418" w:bottom="851" w:left="1418" w:header="141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535" w:rsidRDefault="00C57535" w:rsidP="00A110D3">
      <w:pPr>
        <w:spacing w:after="0" w:line="240" w:lineRule="auto"/>
      </w:pPr>
      <w:r>
        <w:separator/>
      </w:r>
    </w:p>
  </w:endnote>
  <w:endnote w:type="continuationSeparator" w:id="0">
    <w:p w:rsidR="00C57535" w:rsidRDefault="00C57535" w:rsidP="00A11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9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98"/>
    </w:tblGrid>
    <w:tr w:rsidR="00C807F0" w:rsidTr="00CF1E59">
      <w:trPr>
        <w:trHeight w:val="680"/>
        <w:jc w:val="center"/>
      </w:trPr>
      <w:tc>
        <w:tcPr>
          <w:tcW w:w="10998" w:type="dxa"/>
        </w:tcPr>
        <w:tbl>
          <w:tblPr>
            <w:tblStyle w:val="Tablaconcuadrcula"/>
            <w:tblW w:w="9072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544"/>
            <w:gridCol w:w="4528"/>
          </w:tblGrid>
          <w:tr w:rsidR="00C807F0" w:rsidTr="00DE646F">
            <w:trPr>
              <w:jc w:val="center"/>
            </w:trPr>
            <w:tc>
              <w:tcPr>
                <w:tcW w:w="5383" w:type="dxa"/>
              </w:tcPr>
              <w:p w:rsidR="00C807F0" w:rsidRPr="00817A1F" w:rsidRDefault="00C807F0" w:rsidP="000A7F0E">
                <w:pPr>
                  <w:pStyle w:val="Piedepgina"/>
                  <w:rPr>
                    <w:rFonts w:asciiTheme="majorHAnsi" w:hAnsiTheme="majorHAnsi" w:cstheme="majorHAnsi"/>
                    <w:b/>
                    <w:color w:val="01A1C3"/>
                    <w:sz w:val="17"/>
                    <w:szCs w:val="17"/>
                  </w:rPr>
                </w:pPr>
                <w:r w:rsidRPr="00817A1F">
                  <w:rPr>
                    <w:rFonts w:asciiTheme="majorHAnsi" w:hAnsiTheme="majorHAnsi" w:cstheme="majorHAnsi"/>
                    <w:b/>
                    <w:color w:val="01A1C3"/>
                    <w:sz w:val="17"/>
                    <w:szCs w:val="17"/>
                  </w:rPr>
                  <w:t>Material elaborado por INTA Informa</w:t>
                </w:r>
              </w:p>
              <w:p w:rsidR="00C807F0" w:rsidRPr="00627058" w:rsidRDefault="00C57535" w:rsidP="00621F1C">
                <w:pPr>
                  <w:pStyle w:val="Piedepgina"/>
                  <w:rPr>
                    <w:rFonts w:asciiTheme="majorHAnsi" w:hAnsiTheme="majorHAnsi" w:cstheme="majorHAnsi"/>
                    <w:color w:val="01A1C3"/>
                    <w:sz w:val="17"/>
                    <w:szCs w:val="17"/>
                  </w:rPr>
                </w:pPr>
                <w:hyperlink r:id="rId1" w:history="1">
                  <w:r w:rsidR="00C807F0" w:rsidRPr="00627058">
                    <w:rPr>
                      <w:rStyle w:val="Hipervnculo"/>
                      <w:rFonts w:asciiTheme="majorHAnsi" w:hAnsiTheme="majorHAnsi" w:cstheme="majorHAnsi"/>
                      <w:color w:val="01A1C3"/>
                      <w:sz w:val="17"/>
                      <w:szCs w:val="17"/>
                      <w:u w:val="none"/>
                    </w:rPr>
                    <w:t>www.intainforma.gob.ar</w:t>
                  </w:r>
                </w:hyperlink>
                <w:r w:rsidR="00C807F0" w:rsidRPr="00621F1C">
                  <w:rPr>
                    <w:rFonts w:asciiTheme="majorHAnsi" w:hAnsiTheme="majorHAnsi" w:cstheme="majorHAnsi"/>
                    <w:color w:val="01A1C3"/>
                    <w:sz w:val="17"/>
                    <w:szCs w:val="17"/>
                  </w:rPr>
                  <w:t xml:space="preserve"> | </w:t>
                </w:r>
                <w:hyperlink r:id="rId2" w:history="1">
                  <w:r w:rsidR="00C807F0" w:rsidRPr="00621F1C">
                    <w:rPr>
                      <w:rStyle w:val="Hipervnculo"/>
                      <w:rFonts w:asciiTheme="majorHAnsi" w:hAnsiTheme="majorHAnsi" w:cstheme="majorHAnsi"/>
                      <w:color w:val="01A1C3"/>
                      <w:sz w:val="17"/>
                      <w:szCs w:val="17"/>
                      <w:u w:val="none"/>
                    </w:rPr>
                    <w:t>prensa@inta.gob.ar</w:t>
                  </w:r>
                </w:hyperlink>
              </w:p>
            </w:tc>
            <w:tc>
              <w:tcPr>
                <w:tcW w:w="5384" w:type="dxa"/>
              </w:tcPr>
              <w:p w:rsidR="00C807F0" w:rsidRDefault="00C807F0" w:rsidP="00626B6A">
                <w:pPr>
                  <w:pStyle w:val="Piedepgina"/>
                  <w:jc w:val="right"/>
                  <w:rPr>
                    <w:rFonts w:asciiTheme="majorHAnsi" w:hAnsiTheme="majorHAnsi" w:cstheme="majorHAnsi"/>
                    <w:sz w:val="17"/>
                    <w:szCs w:val="17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3A73D826" wp14:editId="0937EF44">
                      <wp:extent cx="239917" cy="244444"/>
                      <wp:effectExtent l="0" t="0" r="0" b="0"/>
                      <wp:docPr id="61" name="Imagen 61" descr="C:\Users\schvetz.natalia\AppData\Local\Microsoft\Windows\INetCache\Content.Word\INTAINF_Encabezado_Word_05.jpg">
                        <a:hlinkClick xmlns:a="http://schemas.openxmlformats.org/drawingml/2006/main" r:id="rId3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C:\Users\schvetz.natalia\AppData\Local\Microsoft\Windows\INetCache\Content.Word\INTAINF_Encabezado_Word_05.jp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 b="-537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41028" cy="2455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lang w:val="en-US"/>
                  </w:rPr>
                  <w:drawing>
                    <wp:inline distT="0" distB="0" distL="0" distR="0" wp14:anchorId="41E2C5CA" wp14:editId="33CAB82A">
                      <wp:extent cx="303291" cy="239169"/>
                      <wp:effectExtent l="0" t="0" r="0" b="0"/>
                      <wp:docPr id="62" name="Imagen 62" descr="C:\Users\schvetz.natalia\AppData\Local\Microsoft\Windows\INetCache\Content.Word\INTAINF_Encabezado_Word_05.jpg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C:\Users\schvetz.natalia\AppData\Local\Microsoft\Windows\INetCache\Content.Word\INTAINF_Encabezado_Word_05.jp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 b="-317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04159" cy="2398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lang w:val="en-US"/>
                  </w:rPr>
                  <w:drawing>
                    <wp:inline distT="0" distB="0" distL="0" distR="0" wp14:anchorId="0307FEAD" wp14:editId="64C1D709">
                      <wp:extent cx="310448" cy="235391"/>
                      <wp:effectExtent l="0" t="0" r="0" b="0"/>
                      <wp:docPr id="63" name="Imagen 63" descr="C:\Users\schvetz.natalia\AppData\Local\Microsoft\Windows\INetCache\Content.Word\INTAINF_Encabezado_Word_05.jpg">
                        <a:hlinkClick xmlns:a="http://schemas.openxmlformats.org/drawingml/2006/main" r:id="rId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C:\Users\schvetz.natalia\AppData\Local\Microsoft\Windows\INetCache\Content.Word\INTAINF_Encabezado_Word_05.jp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 b="-163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12370" cy="2368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lang w:val="en-US"/>
                  </w:rPr>
                  <w:drawing>
                    <wp:inline distT="0" distB="0" distL="0" distR="0" wp14:anchorId="7B636A35" wp14:editId="2FEE605A">
                      <wp:extent cx="1038958" cy="216761"/>
                      <wp:effectExtent l="0" t="0" r="0" b="0"/>
                      <wp:docPr id="64" name="Imagen 64" descr="C:\Users\schvetz.natalia\AppData\Local\Microsoft\Windows\INetCache\Content.Word\INTAINF_Encabezado_Word_05.jpg">
                        <a:hlinkClick xmlns:a="http://schemas.openxmlformats.org/drawingml/2006/main" r:id="rId9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C:\Users\schvetz.natalia\AppData\Local\Microsoft\Windows\INetCache\Content.Word\INTAINF_Encabezado_Word_05.jp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 b="-129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041254" cy="217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C807F0" w:rsidRPr="00964A8E" w:rsidRDefault="00C807F0" w:rsidP="000A7F0E">
          <w:pPr>
            <w:pStyle w:val="Piedepgina"/>
            <w:rPr>
              <w:rFonts w:asciiTheme="majorHAnsi" w:hAnsiTheme="majorHAnsi" w:cstheme="majorHAnsi"/>
              <w:sz w:val="17"/>
              <w:szCs w:val="17"/>
            </w:rPr>
          </w:pPr>
        </w:p>
      </w:tc>
    </w:tr>
  </w:tbl>
  <w:p w:rsidR="00C807F0" w:rsidRDefault="00C807F0" w:rsidP="001339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535" w:rsidRDefault="00C57535" w:rsidP="00A110D3">
      <w:pPr>
        <w:spacing w:after="0" w:line="240" w:lineRule="auto"/>
      </w:pPr>
      <w:r>
        <w:separator/>
      </w:r>
    </w:p>
  </w:footnote>
  <w:footnote w:type="continuationSeparator" w:id="0">
    <w:p w:rsidR="00C57535" w:rsidRDefault="00C57535" w:rsidP="00A11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F0" w:rsidRDefault="00C807F0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35B3E11" wp14:editId="4E68DCA7">
          <wp:simplePos x="0" y="0"/>
          <wp:positionH relativeFrom="column">
            <wp:posOffset>-914400</wp:posOffset>
          </wp:positionH>
          <wp:positionV relativeFrom="paragraph">
            <wp:posOffset>-638810</wp:posOffset>
          </wp:positionV>
          <wp:extent cx="7649845" cy="973455"/>
          <wp:effectExtent l="0" t="0" r="0" b="0"/>
          <wp:wrapNone/>
          <wp:docPr id="60" name="Imagen 60" descr="C:\Users\schvetz.natalia\AppData\Local\Microsoft\Windows\INetCache\Content.Word\INTAINF_Encabezado_Word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vetz.natalia\AppData\Local\Microsoft\Windows\INetCache\Content.Word\INTAINF_Encabezado_Word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845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D3"/>
    <w:rsid w:val="00043327"/>
    <w:rsid w:val="00062357"/>
    <w:rsid w:val="0006780A"/>
    <w:rsid w:val="000A37DA"/>
    <w:rsid w:val="000A7F0E"/>
    <w:rsid w:val="000B7F3C"/>
    <w:rsid w:val="000F60C3"/>
    <w:rsid w:val="001339B9"/>
    <w:rsid w:val="001A01A1"/>
    <w:rsid w:val="001D08A6"/>
    <w:rsid w:val="002358ED"/>
    <w:rsid w:val="002556CF"/>
    <w:rsid w:val="00263041"/>
    <w:rsid w:val="00265FE3"/>
    <w:rsid w:val="002939D2"/>
    <w:rsid w:val="00370675"/>
    <w:rsid w:val="00385C5E"/>
    <w:rsid w:val="003C6DC8"/>
    <w:rsid w:val="00414B1A"/>
    <w:rsid w:val="00475AE7"/>
    <w:rsid w:val="00492C9C"/>
    <w:rsid w:val="004B1D8D"/>
    <w:rsid w:val="00533AA3"/>
    <w:rsid w:val="00536295"/>
    <w:rsid w:val="005A2996"/>
    <w:rsid w:val="005A677D"/>
    <w:rsid w:val="005C3792"/>
    <w:rsid w:val="005D2656"/>
    <w:rsid w:val="00605E8C"/>
    <w:rsid w:val="006214A5"/>
    <w:rsid w:val="00621F1C"/>
    <w:rsid w:val="00626B6A"/>
    <w:rsid w:val="00627058"/>
    <w:rsid w:val="007F056D"/>
    <w:rsid w:val="00817A1F"/>
    <w:rsid w:val="00831009"/>
    <w:rsid w:val="00872317"/>
    <w:rsid w:val="00894E4F"/>
    <w:rsid w:val="008975B4"/>
    <w:rsid w:val="008E628E"/>
    <w:rsid w:val="00903C42"/>
    <w:rsid w:val="00913FB3"/>
    <w:rsid w:val="0092627A"/>
    <w:rsid w:val="00950622"/>
    <w:rsid w:val="00952C08"/>
    <w:rsid w:val="00964A8E"/>
    <w:rsid w:val="00964C09"/>
    <w:rsid w:val="0097599E"/>
    <w:rsid w:val="009C0548"/>
    <w:rsid w:val="009C73FE"/>
    <w:rsid w:val="009F036D"/>
    <w:rsid w:val="00A110D3"/>
    <w:rsid w:val="00A2791F"/>
    <w:rsid w:val="00A832CB"/>
    <w:rsid w:val="00A85834"/>
    <w:rsid w:val="00A934DC"/>
    <w:rsid w:val="00AA4EBE"/>
    <w:rsid w:val="00AE7211"/>
    <w:rsid w:val="00B11414"/>
    <w:rsid w:val="00B24702"/>
    <w:rsid w:val="00B35055"/>
    <w:rsid w:val="00B93938"/>
    <w:rsid w:val="00BB760D"/>
    <w:rsid w:val="00BD3E19"/>
    <w:rsid w:val="00C24573"/>
    <w:rsid w:val="00C57535"/>
    <w:rsid w:val="00C807F0"/>
    <w:rsid w:val="00C850F1"/>
    <w:rsid w:val="00CA16C6"/>
    <w:rsid w:val="00D44150"/>
    <w:rsid w:val="00D50C77"/>
    <w:rsid w:val="00DA3B15"/>
    <w:rsid w:val="00DC5BD7"/>
    <w:rsid w:val="00DD24C9"/>
    <w:rsid w:val="00DE36B2"/>
    <w:rsid w:val="00DE646F"/>
    <w:rsid w:val="00DF1959"/>
    <w:rsid w:val="00EA7E93"/>
    <w:rsid w:val="00EB6C4C"/>
    <w:rsid w:val="00ED76CA"/>
    <w:rsid w:val="00EF2C5A"/>
    <w:rsid w:val="00F343B8"/>
    <w:rsid w:val="00F46082"/>
    <w:rsid w:val="00F5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F72D7"/>
  <w15:docId w15:val="{4AC00886-6781-4BDD-BE27-20394915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E19"/>
  </w:style>
  <w:style w:type="paragraph" w:styleId="Ttulo1">
    <w:name w:val="heading 1"/>
    <w:basedOn w:val="Normal"/>
    <w:link w:val="Ttulo1Car"/>
    <w:uiPriority w:val="9"/>
    <w:qFormat/>
    <w:rsid w:val="00492C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1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10D3"/>
  </w:style>
  <w:style w:type="paragraph" w:styleId="Piedepgina">
    <w:name w:val="footer"/>
    <w:basedOn w:val="Normal"/>
    <w:link w:val="PiedepginaCar"/>
    <w:uiPriority w:val="99"/>
    <w:unhideWhenUsed/>
    <w:rsid w:val="00A11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0D3"/>
  </w:style>
  <w:style w:type="paragraph" w:styleId="Textodeglobo">
    <w:name w:val="Balloon Text"/>
    <w:basedOn w:val="Normal"/>
    <w:link w:val="TextodegloboCar"/>
    <w:uiPriority w:val="99"/>
    <w:semiHidden/>
    <w:unhideWhenUsed/>
    <w:rsid w:val="00A1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0D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0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D24C9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A832CB"/>
  </w:style>
  <w:style w:type="character" w:styleId="Textoennegrita">
    <w:name w:val="Strong"/>
    <w:basedOn w:val="Fuentedeprrafopredeter"/>
    <w:uiPriority w:val="22"/>
    <w:qFormat/>
    <w:rsid w:val="00A832CB"/>
    <w:rPr>
      <w:b/>
      <w:bCs/>
    </w:rPr>
  </w:style>
  <w:style w:type="character" w:customStyle="1" w:styleId="ilad">
    <w:name w:val="il_ad"/>
    <w:basedOn w:val="Fuentedeprrafopredeter"/>
    <w:rsid w:val="00A832CB"/>
  </w:style>
  <w:style w:type="character" w:customStyle="1" w:styleId="Ttulo1Car">
    <w:name w:val="Título 1 Car"/>
    <w:basedOn w:val="Fuentedeprrafopredeter"/>
    <w:link w:val="Ttulo1"/>
    <w:uiPriority w:val="9"/>
    <w:rsid w:val="00492C9C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5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49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5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4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3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hyperlink" Target="https://www.facebook.com/INTAInforma/?fref=ts" TargetMode="External"/><Relationship Id="rId7" Type="http://schemas.openxmlformats.org/officeDocument/2006/relationships/hyperlink" Target="https://www.youtube.com/user/INTAInforma" TargetMode="External"/><Relationship Id="rId2" Type="http://schemas.openxmlformats.org/officeDocument/2006/relationships/hyperlink" Target="mailto:prensa@inta.gob.ar" TargetMode="External"/><Relationship Id="rId1" Type="http://schemas.openxmlformats.org/officeDocument/2006/relationships/hyperlink" Target="http://www.intainforma.gob.ar" TargetMode="External"/><Relationship Id="rId6" Type="http://schemas.openxmlformats.org/officeDocument/2006/relationships/image" Target="media/image3.jpeg"/><Relationship Id="rId5" Type="http://schemas.openxmlformats.org/officeDocument/2006/relationships/hyperlink" Target="https://twitter.com/INTAInforma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2.jpeg"/><Relationship Id="rId9" Type="http://schemas.openxmlformats.org/officeDocument/2006/relationships/hyperlink" Target="mailto:prensa@inta.gob.ar?subject=Suscripci&#243;n%20al%20semanar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F1902-54EF-40C3-BDC1-68382CEF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Schvetz</dc:creator>
  <cp:keywords/>
  <dc:description/>
  <cp:lastModifiedBy>Cecilie Esperbent</cp:lastModifiedBy>
  <cp:revision>2</cp:revision>
  <cp:lastPrinted>2016-11-16T14:36:00Z</cp:lastPrinted>
  <dcterms:created xsi:type="dcterms:W3CDTF">2020-08-19T14:02:00Z</dcterms:created>
  <dcterms:modified xsi:type="dcterms:W3CDTF">2020-08-19T14:02:00Z</dcterms:modified>
</cp:coreProperties>
</file>